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Nebulous-Regular" w:hAnsi="Nebulous-Regular" w:cs="Nebulous-Regular"/>
          <w:color w:val="F68320"/>
          <w:sz w:val="72"/>
          <w:szCs w:val="72"/>
        </w:rPr>
      </w:pPr>
      <w:bookmarkStart w:id="0" w:name="_GoBack"/>
      <w:bookmarkEnd w:id="0"/>
      <w:r>
        <w:rPr>
          <w:rFonts w:ascii="Nebulous-Regular" w:hAnsi="Nebulous-Regular" w:cs="Nebulous-Regular"/>
          <w:color w:val="F68320"/>
          <w:sz w:val="72"/>
          <w:szCs w:val="72"/>
        </w:rPr>
        <w:t>AGAMEMNON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40"/>
          <w:szCs w:val="40"/>
        </w:rPr>
      </w:pPr>
      <w:r>
        <w:rPr>
          <w:rFonts w:ascii="FunctionLH-Regular" w:hAnsi="FunctionLH-Regular" w:cs="FunctionLH-Regular"/>
          <w:color w:val="000000"/>
          <w:sz w:val="32"/>
          <w:szCs w:val="32"/>
        </w:rPr>
        <w:t xml:space="preserve">di </w:t>
      </w:r>
      <w:r>
        <w:rPr>
          <w:rFonts w:ascii="FunctionLH-Regular" w:hAnsi="FunctionLH-Regular" w:cs="FunctionLH-Regular"/>
          <w:color w:val="000000"/>
          <w:sz w:val="40"/>
          <w:szCs w:val="40"/>
        </w:rPr>
        <w:t>GHIANNIS RITSOS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24"/>
          <w:szCs w:val="24"/>
        </w:rPr>
      </w:pPr>
      <w:r>
        <w:rPr>
          <w:rFonts w:ascii="FunctionLH-Regular" w:hAnsi="FunctionLH-Regular" w:cs="FunctionLH-Regular"/>
          <w:color w:val="000000"/>
          <w:sz w:val="24"/>
          <w:szCs w:val="24"/>
        </w:rPr>
        <w:t>traduzione di Nicola Crocetti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32"/>
          <w:szCs w:val="32"/>
        </w:rPr>
      </w:pPr>
      <w:r>
        <w:rPr>
          <w:rFonts w:ascii="FunctionLH-Regular" w:hAnsi="FunctionLH-Regular" w:cs="FunctionLH-Regular"/>
          <w:color w:val="000000"/>
          <w:sz w:val="32"/>
          <w:szCs w:val="32"/>
        </w:rPr>
        <w:t xml:space="preserve">in forma di </w:t>
      </w:r>
      <w:r>
        <w:rPr>
          <w:rFonts w:ascii="FunctionLH-Italic" w:hAnsi="FunctionLH-Italic" w:cs="FunctionLH-Italic"/>
          <w:i/>
          <w:iCs/>
          <w:color w:val="000000"/>
          <w:sz w:val="32"/>
          <w:szCs w:val="32"/>
        </w:rPr>
        <w:t xml:space="preserve">làchesis </w:t>
      </w:r>
      <w:r>
        <w:rPr>
          <w:rFonts w:ascii="FunctionLH-Regular" w:hAnsi="FunctionLH-Regular" w:cs="FunctionLH-Regular"/>
          <w:color w:val="000000"/>
          <w:sz w:val="32"/>
          <w:szCs w:val="32"/>
        </w:rPr>
        <w:t>per solo, eco, icona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32"/>
          <w:szCs w:val="32"/>
        </w:rPr>
      </w:pPr>
      <w:r>
        <w:rPr>
          <w:rFonts w:ascii="FunctionLH-Regular" w:hAnsi="FunctionLH-Regular" w:cs="FunctionLH-Regular"/>
          <w:color w:val="000000"/>
          <w:sz w:val="32"/>
          <w:szCs w:val="32"/>
        </w:rPr>
        <w:t>di ENRICO FRATTAROLI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28"/>
          <w:szCs w:val="28"/>
        </w:rPr>
      </w:pPr>
      <w:r>
        <w:rPr>
          <w:rFonts w:ascii="FunctionLH-Regular" w:hAnsi="FunctionLH-Regular" w:cs="FunctionLH-Regular"/>
          <w:color w:val="000000"/>
          <w:sz w:val="28"/>
          <w:szCs w:val="28"/>
        </w:rPr>
        <w:t>con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Italic" w:hAnsi="FunctionLH-Italic" w:cs="FunctionLH-Italic"/>
          <w:i/>
          <w:iCs/>
          <w:color w:val="000000"/>
          <w:sz w:val="28"/>
          <w:szCs w:val="28"/>
        </w:rPr>
      </w:pP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FRANCO MAZZI </w:t>
      </w:r>
      <w:r>
        <w:rPr>
          <w:rFonts w:ascii="FunctionLH-Italic" w:hAnsi="FunctionLH-Italic" w:cs="FunctionLH-Italic"/>
          <w:i/>
          <w:iCs/>
          <w:color w:val="000000"/>
          <w:sz w:val="28"/>
          <w:szCs w:val="28"/>
        </w:rPr>
        <w:t>Agamennone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Italic" w:hAnsi="FunctionLH-Italic" w:cs="FunctionLH-Italic"/>
          <w:i/>
          <w:iCs/>
          <w:color w:val="000000"/>
          <w:sz w:val="28"/>
          <w:szCs w:val="28"/>
        </w:rPr>
      </w:pP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MARIATERESA PASCALE </w:t>
      </w:r>
      <w:r>
        <w:rPr>
          <w:rFonts w:ascii="FunctionLH-Italic" w:hAnsi="FunctionLH-Italic" w:cs="FunctionLH-Italic"/>
          <w:i/>
          <w:iCs/>
          <w:color w:val="000000"/>
          <w:sz w:val="28"/>
          <w:szCs w:val="28"/>
        </w:rPr>
        <w:t>Clitennestra (in ascolto)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Italic" w:hAnsi="FunctionLH-Italic" w:cs="FunctionLH-Italic"/>
          <w:i/>
          <w:iCs/>
          <w:color w:val="000000"/>
          <w:sz w:val="24"/>
          <w:szCs w:val="24"/>
        </w:rPr>
      </w:pPr>
      <w:r>
        <w:rPr>
          <w:rFonts w:ascii="FunctionLH-Regular" w:hAnsi="FunctionLH-Regular" w:cs="FunctionLH-Regular"/>
          <w:color w:val="000000"/>
          <w:sz w:val="24"/>
          <w:szCs w:val="24"/>
        </w:rPr>
        <w:t xml:space="preserve">PATRIZIA POLIA voce di </w:t>
      </w:r>
      <w:r>
        <w:rPr>
          <w:rFonts w:ascii="FunctionLH-Italic" w:hAnsi="FunctionLH-Italic" w:cs="FunctionLH-Italic"/>
          <w:i/>
          <w:iCs/>
          <w:color w:val="000000"/>
          <w:sz w:val="24"/>
          <w:szCs w:val="24"/>
        </w:rPr>
        <w:t>Cassandra (soprano in audio)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24"/>
          <w:szCs w:val="24"/>
        </w:rPr>
      </w:pPr>
      <w:r>
        <w:rPr>
          <w:rFonts w:ascii="FunctionLH-Regular" w:hAnsi="FunctionLH-Regular" w:cs="FunctionLH-Regular"/>
          <w:color w:val="000000"/>
          <w:sz w:val="24"/>
          <w:szCs w:val="24"/>
        </w:rPr>
        <w:t xml:space="preserve">DIEGO PROCOLI voce di </w:t>
      </w:r>
      <w:r>
        <w:rPr>
          <w:rFonts w:ascii="FunctionLH-Italic" w:hAnsi="FunctionLH-Italic" w:cs="FunctionLH-Italic"/>
          <w:i/>
          <w:iCs/>
          <w:color w:val="000000"/>
          <w:sz w:val="24"/>
          <w:szCs w:val="24"/>
        </w:rPr>
        <w:t xml:space="preserve">Achille </w:t>
      </w:r>
      <w:r>
        <w:rPr>
          <w:rFonts w:ascii="FunctionLH-Regular" w:hAnsi="FunctionLH-Regular" w:cs="FunctionLH-Regular"/>
          <w:color w:val="000000"/>
          <w:sz w:val="24"/>
          <w:szCs w:val="24"/>
        </w:rPr>
        <w:t>(</w:t>
      </w:r>
      <w:r>
        <w:rPr>
          <w:rFonts w:ascii="FunctionLH-Italic" w:hAnsi="FunctionLH-Italic" w:cs="FunctionLH-Italic"/>
          <w:i/>
          <w:iCs/>
          <w:color w:val="000000"/>
          <w:sz w:val="24"/>
          <w:szCs w:val="24"/>
        </w:rPr>
        <w:t>tenore in audio</w:t>
      </w:r>
      <w:r>
        <w:rPr>
          <w:rFonts w:ascii="FunctionLH-Regular" w:hAnsi="FunctionLH-Regular" w:cs="FunctionLH-Regular"/>
          <w:color w:val="000000"/>
          <w:sz w:val="24"/>
          <w:szCs w:val="24"/>
        </w:rPr>
        <w:t>)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24"/>
          <w:szCs w:val="24"/>
        </w:rPr>
      </w:pPr>
      <w:r>
        <w:rPr>
          <w:rFonts w:ascii="FunctionLH-Regular" w:hAnsi="FunctionLH-Regular" w:cs="FunctionLH-Regular"/>
          <w:color w:val="000000"/>
          <w:sz w:val="24"/>
          <w:szCs w:val="24"/>
        </w:rPr>
        <w:t>musiche da BIRD, KARAINDROU, KKOSHI, LIGETI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  <w:sz w:val="24"/>
          <w:szCs w:val="24"/>
        </w:rPr>
      </w:pPr>
      <w:r>
        <w:rPr>
          <w:rFonts w:ascii="FunctionLH-Regular" w:hAnsi="FunctionLH-Regular" w:cs="FunctionLH-Regular"/>
          <w:color w:val="000000"/>
          <w:sz w:val="24"/>
          <w:szCs w:val="24"/>
        </w:rPr>
        <w:t>elaborazioni musicali e video, scena e regia di ENRICO FRATTAROLI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</w:rPr>
      </w:pP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produzione </w:t>
      </w:r>
      <w:r>
        <w:rPr>
          <w:rFonts w:ascii="FunctionLH-Regular" w:hAnsi="FunctionLH-Regular" w:cs="FunctionLH-Regular"/>
          <w:color w:val="000000"/>
        </w:rPr>
        <w:t xml:space="preserve">FRATTAROLI </w:t>
      </w: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- </w:t>
      </w:r>
      <w:r>
        <w:rPr>
          <w:rFonts w:ascii="FunctionLH-Regular" w:hAnsi="FunctionLH-Regular" w:cs="FunctionLH-Regular"/>
          <w:color w:val="000000"/>
        </w:rPr>
        <w:t xml:space="preserve">MAZZI </w:t>
      </w: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- </w:t>
      </w:r>
      <w:r>
        <w:rPr>
          <w:rFonts w:ascii="FunctionLH-Regular" w:hAnsi="FunctionLH-Regular" w:cs="FunctionLH-Regular"/>
          <w:color w:val="000000"/>
        </w:rPr>
        <w:t>PASCALE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FunctionLH-Regular" w:hAnsi="FunctionLH-Regular" w:cs="FunctionLH-Regular"/>
          <w:color w:val="000000"/>
        </w:rPr>
      </w:pPr>
      <w:r>
        <w:rPr>
          <w:rFonts w:ascii="FunctionLH-Regular" w:hAnsi="FunctionLH-Regular" w:cs="FunctionLH-Regular"/>
          <w:color w:val="000000"/>
          <w:sz w:val="28"/>
          <w:szCs w:val="28"/>
        </w:rPr>
        <w:t xml:space="preserve">col sostegno di </w:t>
      </w:r>
      <w:r>
        <w:rPr>
          <w:rFonts w:ascii="FunctionLH-Regular" w:hAnsi="FunctionLH-Regular" w:cs="FunctionLH-Regular"/>
          <w:color w:val="000000"/>
        </w:rPr>
        <w:t>FLORIAN METATEATRO Centro di Produzione Teatrale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… Chi applaudono? Che cosa acclamano?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ImperatorSmallCaps" w:hAnsi="ImperatorSmallCaps" w:cs="ImperatorSmallCaps"/>
          <w:color w:val="000000"/>
          <w:sz w:val="24"/>
          <w:szCs w:val="24"/>
        </w:rPr>
        <w:t>A</w:t>
      </w:r>
      <w:r>
        <w:rPr>
          <w:rFonts w:ascii="Garamond" w:hAnsi="Garamond" w:cs="Garamond"/>
          <w:color w:val="000000"/>
          <w:sz w:val="24"/>
          <w:szCs w:val="24"/>
        </w:rPr>
        <w:t>gamennone torna acclamato eroe dalla guerra di Troia, ma rifiuta le ovazioni, l’eroismo, il bottino,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la condivisione del suo stesso letto con Clitennestra. Svuota di senso i dieci anni di guerra, di cui evoca</w:t>
      </w:r>
    </w:p>
    <w:p w:rsidR="00384B2F" w:rsidRP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eventi e momenti, riconducendo e riducendo la figura mitica all’uomo reale. Vuole solo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un bagno caldo, molto caldo </w:t>
      </w:r>
      <w:r>
        <w:rPr>
          <w:rFonts w:ascii="Garamond" w:hAnsi="Garamond" w:cs="Garamond"/>
          <w:color w:val="000000"/>
          <w:sz w:val="24"/>
          <w:szCs w:val="24"/>
        </w:rPr>
        <w:t>: in realtà, la trappola che la moglie ed Egisto gli hanno teso per ucciderlo, come Cassandra,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inascoltata, predice.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… i nostri autentici dieci anni di silenzio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ImperatorSmallCaps" w:hAnsi="ImperatorSmallCaps" w:cs="ImperatorSmallCaps"/>
          <w:color w:val="000000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’impianto scenico è costituito da una cuspide formata da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libri gualciti </w:t>
      </w:r>
      <w:r>
        <w:rPr>
          <w:rFonts w:ascii="Garamond" w:hAnsi="Garamond" w:cs="Garamond"/>
          <w:color w:val="000000"/>
          <w:sz w:val="24"/>
          <w:szCs w:val="24"/>
        </w:rPr>
        <w:t>posti su leggii e schierati in due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file divergenti dal proscenio al fondo. I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libri gualciti </w:t>
      </w:r>
      <w:r>
        <w:rPr>
          <w:rFonts w:ascii="Garamond" w:hAnsi="Garamond" w:cs="Garamond"/>
          <w:color w:val="000000"/>
          <w:sz w:val="24"/>
          <w:szCs w:val="24"/>
        </w:rPr>
        <w:t>sono costituiti da fogli opalescenti e fogli neri sulle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cui pagine sono stampati/arsi, in greco, i segmenti di testo di cui ogni libro-leggio-scultura costituisce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una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stazione</w:t>
      </w:r>
      <w:r>
        <w:rPr>
          <w:rFonts w:ascii="Garamond" w:hAnsi="Garamond" w:cs="Garamond"/>
          <w:color w:val="000000"/>
          <w:sz w:val="24"/>
          <w:szCs w:val="24"/>
        </w:rPr>
        <w:t>: scansione temporale e concrezione narrativa insieme.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… làchesis, destino, c’è scritto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ImperatorSmallCaps" w:hAnsi="ImperatorSmallCaps" w:cs="ImperatorSmallCaps"/>
          <w:color w:val="000000"/>
          <w:sz w:val="24"/>
          <w:szCs w:val="24"/>
        </w:rPr>
        <w:t>S</w:t>
      </w:r>
      <w:r>
        <w:rPr>
          <w:rFonts w:ascii="Garamond" w:hAnsi="Garamond" w:cs="Garamond"/>
          <w:color w:val="000000"/>
          <w:sz w:val="24"/>
          <w:szCs w:val="24"/>
        </w:rPr>
        <w:t>u un fondale nero, la forma vuota e trasparente, opalescente od opaca della maschera di morte di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Agamennone, si declina in immagini attinenti a quanto Agamennone ricorda, descrive, significa per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comporsi e scomporsi, apparire e svanire, variare di sostanza e colore fino a raggiungere il suo stato finale,destinale, di lucente maschera d’oro. La cuspide di libri gualciti, il cangiantismo iconico delle proie zioni, la stessa presenza degli attori, e finanche il testo poetico di Ritsos, convergono a costituire una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sorta di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installazione teatrale </w:t>
      </w:r>
      <w:r>
        <w:rPr>
          <w:rFonts w:ascii="Garamond" w:hAnsi="Garamond" w:cs="Garamond"/>
          <w:color w:val="000000"/>
          <w:sz w:val="24"/>
          <w:szCs w:val="24"/>
        </w:rPr>
        <w:t>in forma di partitura scenica, visiva, acustica, poetica.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… dal campo militare mi arrivava una canzone solitaria, triste, pallida e calda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ImperatorSmallCaps" w:hAnsi="ImperatorSmallCaps" w:cs="ImperatorSmallCaps"/>
          <w:color w:val="000000"/>
          <w:sz w:val="24"/>
          <w:szCs w:val="24"/>
        </w:rPr>
        <w:t>L</w:t>
      </w:r>
      <w:r>
        <w:rPr>
          <w:rFonts w:ascii="Garamond" w:hAnsi="Garamond" w:cs="Garamond"/>
          <w:color w:val="000000"/>
          <w:sz w:val="24"/>
          <w:szCs w:val="24"/>
        </w:rPr>
        <w:t xml:space="preserve">e due grandi didascalie che aprono e chiudono il testo fanno corpo con le note di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The battell </w:t>
      </w:r>
      <w:r>
        <w:rPr>
          <w:rFonts w:ascii="Garamond" w:hAnsi="Garamond" w:cs="Garamond"/>
          <w:color w:val="000000"/>
          <w:sz w:val="24"/>
          <w:szCs w:val="24"/>
        </w:rPr>
        <w:t>(per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fiati e percussione) di William Byrd. Il corpo del testo poetico, invece, si coniuga e declina, di volta in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volta, con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Musica ricercata II </w:t>
      </w:r>
      <w:r>
        <w:rPr>
          <w:rFonts w:ascii="Garamond" w:hAnsi="Garamond" w:cs="Garamond"/>
          <w:color w:val="000000"/>
          <w:sz w:val="24"/>
          <w:szCs w:val="24"/>
        </w:rPr>
        <w:t xml:space="preserve">di György Ligeti (nell’originale per pianoforte e in variazioni per voce e altri strumenti) e quattro brani di Eleni Karaindrou: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Adieu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Waiting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 xml:space="preserve">Requiem for Willy Loman </w:t>
      </w:r>
      <w:r>
        <w:rPr>
          <w:rFonts w:ascii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Father’s theme</w:t>
      </w:r>
      <w:r>
        <w:rPr>
          <w:rFonts w:ascii="Garamond" w:hAnsi="Garamond" w:cs="Garamond"/>
          <w:color w:val="000000"/>
          <w:sz w:val="24"/>
          <w:szCs w:val="24"/>
        </w:rPr>
        <w:t>.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Una danza per bouzouki di Chaz Kkoshi funge da bordone alle sole evocazioni di Achille e di Patroclo.</w:t>
      </w:r>
    </w:p>
    <w:p w:rsidR="00384B2F" w:rsidRDefault="00384B2F" w:rsidP="00384B2F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… </w:t>
      </w:r>
      <w:r>
        <w:rPr>
          <w:rFonts w:ascii="Garamond-Italic" w:hAnsi="Garamond-Italic" w:cs="Garamond-Italic"/>
          <w:i/>
          <w:iCs/>
          <w:color w:val="000000"/>
          <w:sz w:val="24"/>
          <w:szCs w:val="24"/>
        </w:rPr>
        <w:t>l’acqua si fredderà, si sarà freddata.</w:t>
      </w:r>
    </w:p>
    <w:p w:rsidR="003558C7" w:rsidRDefault="00384B2F" w:rsidP="00384B2F">
      <w:r>
        <w:rPr>
          <w:rFonts w:ascii="Garamond" w:hAnsi="Garamond" w:cs="Garamond"/>
          <w:color w:val="000000"/>
          <w:sz w:val="24"/>
          <w:szCs w:val="24"/>
        </w:rPr>
        <w:t>Enrico Frattaroli</w:t>
      </w:r>
    </w:p>
    <w:sectPr w:rsidR="003558C7" w:rsidSect="00355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bulo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nctionL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nctionLH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eratorSmall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F"/>
    <w:rsid w:val="003558C7"/>
    <w:rsid w:val="00384B2F"/>
    <w:rsid w:val="0098307D"/>
    <w:rsid w:val="00BE5BB1"/>
    <w:rsid w:val="00E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Iaia</dc:creator>
  <cp:lastModifiedBy>isabella</cp:lastModifiedBy>
  <cp:revision>2</cp:revision>
  <dcterms:created xsi:type="dcterms:W3CDTF">2019-02-20T15:04:00Z</dcterms:created>
  <dcterms:modified xsi:type="dcterms:W3CDTF">2019-02-20T15:04:00Z</dcterms:modified>
</cp:coreProperties>
</file>